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8C5C1" w14:textId="77777777" w:rsidR="00676E2F" w:rsidRPr="00BC263D" w:rsidRDefault="00676E2F" w:rsidP="00676E2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szCs w:val="22"/>
        </w:rPr>
      </w:pPr>
      <w:r w:rsidRPr="00BC263D">
        <w:rPr>
          <w:rFonts w:ascii="Arial" w:hAnsi="Arial" w:cs="Arial"/>
          <w:b/>
          <w:bCs/>
          <w:sz w:val="22"/>
          <w:szCs w:val="22"/>
        </w:rPr>
        <w:t>3GPP TSG-SA WG4 Meeting #92</w:t>
      </w:r>
      <w:r w:rsidRPr="00BC263D">
        <w:rPr>
          <w:rFonts w:ascii="Arial" w:hAnsi="Arial" w:cs="Arial"/>
          <w:b/>
          <w:bCs/>
          <w:sz w:val="22"/>
          <w:szCs w:val="22"/>
        </w:rPr>
        <w:tab/>
      </w:r>
      <w:r w:rsidRPr="00BC263D">
        <w:rPr>
          <w:rFonts w:ascii="Arial" w:hAnsi="Arial" w:cs="Arial"/>
          <w:b/>
          <w:bCs/>
          <w:sz w:val="22"/>
          <w:szCs w:val="22"/>
        </w:rPr>
        <w:tab/>
      </w:r>
      <w:r w:rsidRPr="00BC263D">
        <w:rPr>
          <w:rFonts w:ascii="Arial" w:hAnsi="Arial" w:cs="Arial"/>
          <w:b/>
          <w:bCs/>
          <w:sz w:val="22"/>
          <w:szCs w:val="22"/>
        </w:rPr>
        <w:tab/>
        <w:t>S4-170</w:t>
      </w:r>
      <w:r w:rsidR="00DE1647">
        <w:rPr>
          <w:rFonts w:ascii="Arial" w:hAnsi="Arial" w:cs="Arial"/>
          <w:b/>
          <w:bCs/>
          <w:sz w:val="22"/>
          <w:szCs w:val="22"/>
        </w:rPr>
        <w:t>123</w:t>
      </w:r>
    </w:p>
    <w:p w14:paraId="7157554D" w14:textId="77777777" w:rsidR="00676E2F" w:rsidRPr="00BC263D" w:rsidRDefault="00676E2F" w:rsidP="00676E2F">
      <w:pPr>
        <w:tabs>
          <w:tab w:val="left" w:pos="8080"/>
        </w:tabs>
        <w:rPr>
          <w:rFonts w:ascii="Arial" w:hAnsi="Arial" w:cs="Arial"/>
          <w:b/>
          <w:bCs/>
          <w:sz w:val="22"/>
          <w:szCs w:val="22"/>
        </w:rPr>
      </w:pPr>
      <w:r w:rsidRPr="00BC263D">
        <w:rPr>
          <w:rFonts w:ascii="Arial" w:hAnsi="Arial" w:cs="Arial"/>
          <w:b/>
          <w:bCs/>
          <w:sz w:val="22"/>
          <w:szCs w:val="22"/>
        </w:rPr>
        <w:t>Tallin, Estonia, 23 - 27 January 2017</w:t>
      </w:r>
      <w:r w:rsidRPr="00BC263D">
        <w:rPr>
          <w:rFonts w:ascii="Arial" w:hAnsi="Arial" w:cs="Arial"/>
          <w:b/>
          <w:bCs/>
          <w:sz w:val="22"/>
          <w:szCs w:val="22"/>
        </w:rPr>
        <w:tab/>
        <w:t xml:space="preserve">Agenda Item: </w:t>
      </w:r>
      <w:r w:rsidR="00DE1647">
        <w:rPr>
          <w:rFonts w:ascii="Arial" w:hAnsi="Arial" w:cs="Arial"/>
          <w:b/>
          <w:bCs/>
          <w:sz w:val="22"/>
          <w:szCs w:val="22"/>
        </w:rPr>
        <w:t>10</w:t>
      </w:r>
    </w:p>
    <w:p w14:paraId="3E706E9F" w14:textId="77777777" w:rsidR="00E96199" w:rsidRPr="00676E2F" w:rsidRDefault="00E96199" w:rsidP="00290627">
      <w:pPr>
        <w:pBdr>
          <w:bottom w:val="single" w:sz="4" w:space="1" w:color="auto"/>
        </w:pBdr>
        <w:tabs>
          <w:tab w:val="left" w:pos="7655"/>
          <w:tab w:val="right" w:pos="9214"/>
        </w:tabs>
        <w:jc w:val="both"/>
        <w:rPr>
          <w:rFonts w:ascii="Arial" w:hAnsi="Arial" w:cs="Arial"/>
        </w:rPr>
      </w:pPr>
    </w:p>
    <w:p w14:paraId="7A50A924" w14:textId="77777777" w:rsidR="00463675" w:rsidRDefault="00463675">
      <w:pPr>
        <w:rPr>
          <w:rFonts w:ascii="Arial" w:hAnsi="Arial" w:cs="Arial"/>
        </w:rPr>
      </w:pPr>
    </w:p>
    <w:p w14:paraId="0375D30D" w14:textId="77777777" w:rsidR="00463675" w:rsidRPr="00290627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C17BC">
        <w:rPr>
          <w:rFonts w:ascii="Arial" w:hAnsi="Arial" w:cs="Arial"/>
          <w:b/>
        </w:rPr>
        <w:t xml:space="preserve">Draft </w:t>
      </w:r>
      <w:r w:rsidR="00DE1647" w:rsidRPr="001C17BC">
        <w:rPr>
          <w:rFonts w:ascii="Arial" w:hAnsi="Arial" w:cs="Arial"/>
        </w:rPr>
        <w:t xml:space="preserve">Reply </w:t>
      </w:r>
      <w:r w:rsidR="00290627" w:rsidRPr="00290627">
        <w:rPr>
          <w:rFonts w:ascii="Arial" w:hAnsi="Arial" w:cs="Arial"/>
          <w:bCs/>
        </w:rPr>
        <w:t>LS on Audio Latency requirements in SMARTER</w:t>
      </w:r>
    </w:p>
    <w:p w14:paraId="5A2E4EB2" w14:textId="77777777" w:rsidR="00463675" w:rsidRPr="0029062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90627">
        <w:rPr>
          <w:rFonts w:ascii="Arial" w:hAnsi="Arial" w:cs="Arial"/>
          <w:b/>
        </w:rPr>
        <w:t>Response to:</w:t>
      </w:r>
      <w:r w:rsidRPr="00290627">
        <w:rPr>
          <w:rFonts w:ascii="Arial" w:hAnsi="Arial" w:cs="Arial"/>
          <w:bCs/>
        </w:rPr>
        <w:tab/>
      </w:r>
      <w:r w:rsidR="00DE1647" w:rsidRPr="00290627">
        <w:rPr>
          <w:rFonts w:ascii="Arial" w:hAnsi="Arial" w:cs="Arial"/>
          <w:bCs/>
        </w:rPr>
        <w:t>LS on Audio Latency requirements in SMARTER</w:t>
      </w:r>
      <w:r w:rsidR="00DE1647">
        <w:rPr>
          <w:rFonts w:ascii="Arial" w:hAnsi="Arial" w:cs="Arial"/>
          <w:bCs/>
        </w:rPr>
        <w:t xml:space="preserve"> (</w:t>
      </w:r>
      <w:r w:rsidR="00DE1647" w:rsidRPr="00DE1647">
        <w:rPr>
          <w:rFonts w:ascii="Arial" w:hAnsi="Arial" w:cs="Arial"/>
          <w:bCs/>
        </w:rPr>
        <w:t>S1-163449</w:t>
      </w:r>
      <w:r w:rsidR="00DE1647">
        <w:rPr>
          <w:rFonts w:ascii="Arial" w:hAnsi="Arial" w:cs="Arial"/>
          <w:bCs/>
        </w:rPr>
        <w:t>)</w:t>
      </w:r>
    </w:p>
    <w:p w14:paraId="3D8DEC9D" w14:textId="77777777" w:rsidR="00463675" w:rsidRPr="0029062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90627">
        <w:rPr>
          <w:rFonts w:ascii="Arial" w:hAnsi="Arial" w:cs="Arial"/>
          <w:b/>
        </w:rPr>
        <w:t>Release:</w:t>
      </w:r>
      <w:r w:rsidRPr="00290627">
        <w:rPr>
          <w:rFonts w:ascii="Arial" w:hAnsi="Arial" w:cs="Arial"/>
          <w:bCs/>
        </w:rPr>
        <w:tab/>
      </w:r>
      <w:r w:rsidR="00290627" w:rsidRPr="00290627">
        <w:rPr>
          <w:rFonts w:ascii="Arial" w:hAnsi="Arial" w:cs="Arial"/>
          <w:bCs/>
        </w:rPr>
        <w:t>Rel-15</w:t>
      </w:r>
    </w:p>
    <w:p w14:paraId="08BB16BC" w14:textId="77777777" w:rsidR="00392B4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90627">
        <w:rPr>
          <w:rFonts w:ascii="Arial" w:hAnsi="Arial" w:cs="Arial"/>
          <w:b/>
        </w:rPr>
        <w:t>Work Item:</w:t>
      </w:r>
      <w:r w:rsidRPr="00290627">
        <w:rPr>
          <w:rFonts w:ascii="Arial" w:hAnsi="Arial" w:cs="Arial"/>
          <w:bCs/>
        </w:rPr>
        <w:tab/>
      </w:r>
      <w:r w:rsidR="008740A0">
        <w:rPr>
          <w:rFonts w:ascii="Arial" w:hAnsi="Arial" w:cs="Arial"/>
          <w:bCs/>
        </w:rPr>
        <w:t>Feasibility Study on Virtual Reality (</w:t>
      </w:r>
      <w:r w:rsidR="00DE1647">
        <w:rPr>
          <w:rFonts w:ascii="Arial" w:hAnsi="Arial" w:cs="Arial"/>
          <w:bCs/>
        </w:rPr>
        <w:t>FS_VR</w:t>
      </w:r>
      <w:r w:rsidR="008740A0">
        <w:rPr>
          <w:rFonts w:ascii="Arial" w:hAnsi="Arial" w:cs="Arial"/>
          <w:bCs/>
        </w:rPr>
        <w:t>)</w:t>
      </w:r>
      <w:r w:rsidR="00392B4F">
        <w:rPr>
          <w:rFonts w:ascii="Arial" w:hAnsi="Arial" w:cs="Arial"/>
          <w:bCs/>
        </w:rPr>
        <w:t xml:space="preserve"> &amp;</w:t>
      </w:r>
    </w:p>
    <w:p w14:paraId="0C63D9A8" w14:textId="77777777" w:rsidR="00463675" w:rsidRPr="00290627" w:rsidRDefault="00290627" w:rsidP="00392B4F">
      <w:pPr>
        <w:spacing w:after="60"/>
        <w:ind w:left="1985"/>
        <w:rPr>
          <w:rFonts w:ascii="Arial" w:hAnsi="Arial" w:cs="Arial"/>
          <w:bCs/>
        </w:rPr>
      </w:pPr>
      <w:r w:rsidRPr="00290627">
        <w:rPr>
          <w:rFonts w:ascii="Arial" w:hAnsi="Arial" w:cs="Arial"/>
          <w:bCs/>
        </w:rPr>
        <w:t>Service requirements for next generation new services and markets (SMARTER)</w:t>
      </w:r>
    </w:p>
    <w:p w14:paraId="6DA1ADB6" w14:textId="77777777" w:rsidR="00463675" w:rsidRPr="0029062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E921B59" w14:textId="77777777" w:rsidR="00463675" w:rsidRPr="0029062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90627">
        <w:rPr>
          <w:rFonts w:ascii="Arial" w:hAnsi="Arial" w:cs="Arial"/>
          <w:b/>
        </w:rPr>
        <w:t>Source:</w:t>
      </w:r>
      <w:r w:rsidR="00290627" w:rsidRPr="00290627">
        <w:rPr>
          <w:rFonts w:ascii="Arial" w:hAnsi="Arial" w:cs="Arial"/>
          <w:bCs/>
        </w:rPr>
        <w:tab/>
        <w:t>SA</w:t>
      </w:r>
      <w:r w:rsidR="00392B4F">
        <w:rPr>
          <w:rFonts w:ascii="Arial" w:hAnsi="Arial" w:cs="Arial"/>
          <w:bCs/>
        </w:rPr>
        <w:t>4</w:t>
      </w:r>
    </w:p>
    <w:p w14:paraId="76300576" w14:textId="77777777" w:rsidR="00463675" w:rsidRPr="0029062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90627">
        <w:rPr>
          <w:rFonts w:ascii="Arial" w:hAnsi="Arial" w:cs="Arial"/>
          <w:b/>
        </w:rPr>
        <w:t>To:</w:t>
      </w:r>
      <w:r w:rsidRPr="00290627">
        <w:rPr>
          <w:rFonts w:ascii="Arial" w:hAnsi="Arial" w:cs="Arial"/>
          <w:bCs/>
        </w:rPr>
        <w:tab/>
      </w:r>
      <w:r w:rsidR="00290627" w:rsidRPr="00290627">
        <w:rPr>
          <w:rFonts w:ascii="Arial" w:hAnsi="Arial" w:cs="Arial"/>
          <w:bCs/>
        </w:rPr>
        <w:t>SA</w:t>
      </w:r>
      <w:r w:rsidR="00392B4F">
        <w:rPr>
          <w:rFonts w:ascii="Arial" w:hAnsi="Arial" w:cs="Arial"/>
          <w:bCs/>
        </w:rPr>
        <w:t>1</w:t>
      </w:r>
    </w:p>
    <w:p w14:paraId="2B4E81DF" w14:textId="77777777" w:rsidR="00463675" w:rsidRPr="0029062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90627">
        <w:rPr>
          <w:rFonts w:ascii="Arial" w:hAnsi="Arial" w:cs="Arial"/>
          <w:b/>
        </w:rPr>
        <w:t>Cc:</w:t>
      </w:r>
      <w:r w:rsidRPr="00290627">
        <w:rPr>
          <w:rFonts w:ascii="Arial" w:hAnsi="Arial" w:cs="Arial"/>
          <w:bCs/>
        </w:rPr>
        <w:tab/>
      </w:r>
      <w:r w:rsidR="00290627" w:rsidRPr="00290627">
        <w:rPr>
          <w:rFonts w:ascii="Arial" w:hAnsi="Arial" w:cs="Arial"/>
          <w:bCs/>
        </w:rPr>
        <w:t>-</w:t>
      </w:r>
    </w:p>
    <w:p w14:paraId="7DD9012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90F324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707BADC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92B4F">
        <w:rPr>
          <w:rFonts w:cs="Arial"/>
          <w:b w:val="0"/>
          <w:bCs/>
        </w:rPr>
        <w:t>Jon Gibbs</w:t>
      </w:r>
    </w:p>
    <w:p w14:paraId="6E985C31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290627">
        <w:rPr>
          <w:rFonts w:ascii="Arial" w:hAnsi="Arial" w:cs="Arial"/>
          <w:bCs/>
        </w:rPr>
        <w:t xml:space="preserve">+44 </w:t>
      </w:r>
      <w:r w:rsidR="00392B4F">
        <w:rPr>
          <w:rFonts w:ascii="Arial" w:hAnsi="Arial" w:cs="Arial"/>
          <w:bCs/>
        </w:rPr>
        <w:t>7709 554644</w:t>
      </w:r>
    </w:p>
    <w:p w14:paraId="6615AE92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392B4F" w:rsidRPr="0052745F">
          <w:rPr>
            <w:rStyle w:val="Hyperlink"/>
            <w:rFonts w:cs="Arial"/>
          </w:rPr>
          <w:t>jon.gibbs@obliso.com</w:t>
        </w:r>
      </w:hyperlink>
      <w:r w:rsidR="00290627">
        <w:rPr>
          <w:rFonts w:cs="Arial"/>
          <w:b w:val="0"/>
          <w:bCs/>
        </w:rPr>
        <w:t xml:space="preserve"> </w:t>
      </w:r>
    </w:p>
    <w:p w14:paraId="68D711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B7C1C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D92A785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E316F2F" w14:textId="77777777" w:rsidR="00463675" w:rsidRPr="003F5F4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F5F4D">
        <w:rPr>
          <w:rFonts w:ascii="Arial" w:hAnsi="Arial" w:cs="Arial"/>
          <w:b/>
        </w:rPr>
        <w:t>Attachments:</w:t>
      </w:r>
      <w:r w:rsidRPr="003F5F4D">
        <w:rPr>
          <w:rFonts w:ascii="Arial" w:hAnsi="Arial" w:cs="Arial"/>
          <w:bCs/>
        </w:rPr>
        <w:tab/>
      </w:r>
      <w:r w:rsidR="003F5F4D" w:rsidRPr="003F5F4D">
        <w:rPr>
          <w:rFonts w:ascii="Arial" w:hAnsi="Arial" w:cs="Arial"/>
          <w:bCs/>
        </w:rPr>
        <w:t>-</w:t>
      </w:r>
    </w:p>
    <w:p w14:paraId="79833E0E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F09327" w14:textId="77777777" w:rsidR="00463675" w:rsidRPr="00290627" w:rsidRDefault="00463675">
      <w:pPr>
        <w:rPr>
          <w:rFonts w:ascii="Arial" w:hAnsi="Arial" w:cs="Arial"/>
        </w:rPr>
      </w:pPr>
    </w:p>
    <w:p w14:paraId="3A4A0095" w14:textId="77777777" w:rsidR="00463675" w:rsidRPr="00290627" w:rsidRDefault="00463675">
      <w:pPr>
        <w:spacing w:after="120"/>
        <w:rPr>
          <w:rFonts w:ascii="Arial" w:hAnsi="Arial" w:cs="Arial"/>
          <w:b/>
        </w:rPr>
      </w:pPr>
      <w:r w:rsidRPr="00290627">
        <w:rPr>
          <w:rFonts w:ascii="Arial" w:hAnsi="Arial" w:cs="Arial"/>
          <w:b/>
        </w:rPr>
        <w:t>1. Overall Description:</w:t>
      </w:r>
    </w:p>
    <w:p w14:paraId="44051D8F" w14:textId="77777777" w:rsidR="00245567" w:rsidRDefault="002455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thanks </w:t>
      </w:r>
      <w:r w:rsidR="00290627" w:rsidRPr="00290627">
        <w:rPr>
          <w:rFonts w:ascii="Arial" w:hAnsi="Arial" w:cs="Arial"/>
        </w:rPr>
        <w:t xml:space="preserve">SA1 </w:t>
      </w:r>
      <w:r>
        <w:rPr>
          <w:rFonts w:ascii="Arial" w:hAnsi="Arial" w:cs="Arial"/>
        </w:rPr>
        <w:t xml:space="preserve">for its invitation to provide feedback on the requirement on </w:t>
      </w:r>
      <w:r w:rsidRPr="00245567">
        <w:rPr>
          <w:rFonts w:ascii="Arial" w:hAnsi="Arial" w:cs="Arial"/>
        </w:rPr>
        <w:t>virtual reality motion-to-sound latency</w:t>
      </w:r>
      <w:r>
        <w:rPr>
          <w:rFonts w:ascii="Arial" w:hAnsi="Arial" w:cs="Arial"/>
        </w:rPr>
        <w:t xml:space="preserve"> included in </w:t>
      </w:r>
      <w:r w:rsidR="00290627" w:rsidRPr="00290627">
        <w:rPr>
          <w:rFonts w:ascii="Arial" w:hAnsi="Arial" w:cs="Arial"/>
        </w:rPr>
        <w:t xml:space="preserve">TS 22.261, Service requirements for next generation new services and markets (SMARTER). </w:t>
      </w:r>
    </w:p>
    <w:p w14:paraId="134BD117" w14:textId="77777777" w:rsidR="00245567" w:rsidRDefault="00245567">
      <w:pPr>
        <w:rPr>
          <w:rFonts w:ascii="Arial" w:hAnsi="Arial" w:cs="Arial"/>
        </w:rPr>
      </w:pPr>
    </w:p>
    <w:p w14:paraId="5EA12689" w14:textId="17DA1EB8" w:rsidR="002B75FE" w:rsidRDefault="002B75FE" w:rsidP="002B75FE">
      <w:pPr>
        <w:pStyle w:val="Header"/>
        <w:rPr>
          <w:rFonts w:ascii="Arial" w:hAnsi="Arial" w:cs="Arial"/>
        </w:rPr>
      </w:pPr>
      <w:r w:rsidRPr="002B75FE">
        <w:rPr>
          <w:rFonts w:ascii="Arial" w:hAnsi="Arial" w:cs="Arial"/>
        </w:rPr>
        <w:t xml:space="preserve">SA4 </w:t>
      </w:r>
      <w:r>
        <w:rPr>
          <w:rFonts w:ascii="Arial" w:hAnsi="Arial" w:cs="Arial"/>
        </w:rPr>
        <w:t>suggests</w:t>
      </w:r>
      <w:r w:rsidRPr="002B75FE">
        <w:rPr>
          <w:rFonts w:ascii="Arial" w:hAnsi="Arial" w:cs="Arial"/>
        </w:rPr>
        <w:t xml:space="preserve"> that requirements </w:t>
      </w:r>
      <w:r>
        <w:rPr>
          <w:rFonts w:ascii="Arial" w:hAnsi="Arial" w:cs="Arial"/>
        </w:rPr>
        <w:t>need to</w:t>
      </w:r>
      <w:r w:rsidRPr="002B75FE">
        <w:rPr>
          <w:rFonts w:ascii="Arial" w:hAnsi="Arial" w:cs="Arial"/>
        </w:rPr>
        <w:t xml:space="preserve"> be established for the motion-to-sound latency of the audio component based upon studies of human perception in order to result in requirements that meet user </w:t>
      </w:r>
      <w:r w:rsidR="00964ECC">
        <w:rPr>
          <w:rFonts w:ascii="Arial" w:hAnsi="Arial" w:cs="Arial"/>
        </w:rPr>
        <w:t>satisfaction</w:t>
      </w:r>
      <w:r w:rsidR="00964ECC" w:rsidRPr="002B75FE">
        <w:rPr>
          <w:rFonts w:ascii="Arial" w:hAnsi="Arial" w:cs="Arial"/>
        </w:rPr>
        <w:t xml:space="preserve"> </w:t>
      </w:r>
      <w:r w:rsidRPr="002B75FE">
        <w:rPr>
          <w:rFonts w:ascii="Arial" w:hAnsi="Arial" w:cs="Arial"/>
        </w:rPr>
        <w:t>without unnecessa</w:t>
      </w:r>
      <w:r>
        <w:rPr>
          <w:rFonts w:ascii="Arial" w:hAnsi="Arial" w:cs="Arial"/>
        </w:rPr>
        <w:t>ry implementation cost in UE’s</w:t>
      </w:r>
      <w:r w:rsidR="005B4D23">
        <w:rPr>
          <w:rFonts w:ascii="Arial" w:hAnsi="Arial" w:cs="Arial"/>
        </w:rPr>
        <w:t xml:space="preserve"> and without </w:t>
      </w:r>
      <w:r w:rsidR="005B4D23" w:rsidRPr="005B4D23">
        <w:rPr>
          <w:rFonts w:ascii="Arial" w:hAnsi="Arial" w:cs="Arial"/>
        </w:rPr>
        <w:t>unnecessarily constr</w:t>
      </w:r>
      <w:r w:rsidR="005B4D23">
        <w:rPr>
          <w:rFonts w:ascii="Arial" w:hAnsi="Arial" w:cs="Arial"/>
        </w:rPr>
        <w:t>ain</w:t>
      </w:r>
      <w:r w:rsidR="005B4D23" w:rsidRPr="005B4D23">
        <w:rPr>
          <w:rFonts w:ascii="Arial" w:hAnsi="Arial" w:cs="Arial"/>
        </w:rPr>
        <w:t xml:space="preserve">ing the </w:t>
      </w:r>
      <w:r w:rsidR="005B4D23">
        <w:rPr>
          <w:rFonts w:ascii="Arial" w:hAnsi="Arial" w:cs="Arial"/>
        </w:rPr>
        <w:t xml:space="preserve">VR </w:t>
      </w:r>
      <w:r w:rsidR="005B4D23" w:rsidRPr="005B4D23">
        <w:rPr>
          <w:rFonts w:ascii="Arial" w:hAnsi="Arial" w:cs="Arial"/>
        </w:rPr>
        <w:t xml:space="preserve">services </w:t>
      </w:r>
      <w:r w:rsidR="005B4D23">
        <w:rPr>
          <w:rFonts w:ascii="Arial" w:hAnsi="Arial" w:cs="Arial"/>
        </w:rPr>
        <w:t xml:space="preserve">that may be </w:t>
      </w:r>
      <w:r w:rsidR="005B4D23" w:rsidRPr="005B4D23">
        <w:rPr>
          <w:rFonts w:ascii="Arial" w:hAnsi="Arial" w:cs="Arial"/>
        </w:rPr>
        <w:t>offered</w:t>
      </w:r>
      <w:r>
        <w:rPr>
          <w:rFonts w:ascii="Arial" w:hAnsi="Arial" w:cs="Arial"/>
        </w:rPr>
        <w:t>.</w:t>
      </w:r>
      <w:r w:rsidR="00086E96">
        <w:rPr>
          <w:rFonts w:ascii="Arial" w:hAnsi="Arial" w:cs="Arial"/>
        </w:rPr>
        <w:t xml:space="preserve"> </w:t>
      </w:r>
    </w:p>
    <w:p w14:paraId="67504509" w14:textId="77777777" w:rsidR="002B75FE" w:rsidRPr="002B75FE" w:rsidRDefault="002B75FE" w:rsidP="002B75FE">
      <w:pPr>
        <w:pStyle w:val="Header"/>
        <w:rPr>
          <w:rFonts w:ascii="Arial" w:hAnsi="Arial" w:cs="Arial"/>
        </w:rPr>
      </w:pPr>
    </w:p>
    <w:p w14:paraId="0D75605C" w14:textId="41CC124A" w:rsidR="00086E96" w:rsidRDefault="002B75FE" w:rsidP="002B75FE">
      <w:pPr>
        <w:pStyle w:val="Header"/>
        <w:rPr>
          <w:rFonts w:ascii="Arial" w:hAnsi="Arial" w:cs="Arial"/>
        </w:rPr>
      </w:pPr>
      <w:r w:rsidRPr="002B75FE">
        <w:rPr>
          <w:rFonts w:ascii="Arial" w:hAnsi="Arial" w:cs="Arial"/>
        </w:rPr>
        <w:t xml:space="preserve">Studies </w:t>
      </w:r>
      <w:r>
        <w:rPr>
          <w:rFonts w:ascii="Arial" w:hAnsi="Arial" w:cs="Arial"/>
        </w:rPr>
        <w:t xml:space="preserve">available </w:t>
      </w:r>
      <w:r w:rsidRPr="002B75FE">
        <w:rPr>
          <w:rFonts w:ascii="Arial" w:hAnsi="Arial" w:cs="Arial"/>
        </w:rPr>
        <w:t>provide evidence that the require</w:t>
      </w:r>
      <w:bookmarkStart w:id="0" w:name="_GoBack"/>
      <w:bookmarkEnd w:id="0"/>
      <w:r w:rsidRPr="002B75FE">
        <w:rPr>
          <w:rFonts w:ascii="Arial" w:hAnsi="Arial" w:cs="Arial"/>
        </w:rPr>
        <w:t xml:space="preserve">ments for </w:t>
      </w:r>
      <w:r w:rsidR="00A67644">
        <w:rPr>
          <w:rFonts w:ascii="Arial" w:hAnsi="Arial" w:cs="Arial"/>
        </w:rPr>
        <w:t>Virtual Reality (</w:t>
      </w:r>
      <w:r w:rsidRPr="002B75FE">
        <w:rPr>
          <w:rFonts w:ascii="Arial" w:hAnsi="Arial" w:cs="Arial"/>
        </w:rPr>
        <w:t>VR</w:t>
      </w:r>
      <w:r w:rsidR="00A67644">
        <w:rPr>
          <w:rFonts w:ascii="Arial" w:hAnsi="Arial" w:cs="Arial"/>
        </w:rPr>
        <w:t>)</w:t>
      </w:r>
      <w:r w:rsidRPr="002B75FE">
        <w:rPr>
          <w:rFonts w:ascii="Arial" w:hAnsi="Arial" w:cs="Arial"/>
        </w:rPr>
        <w:t xml:space="preserve"> and </w:t>
      </w:r>
      <w:r w:rsidR="00A67644">
        <w:rPr>
          <w:rFonts w:ascii="Arial" w:hAnsi="Arial" w:cs="Arial"/>
        </w:rPr>
        <w:t>Augmented Reality (</w:t>
      </w:r>
      <w:r w:rsidRPr="002B75FE">
        <w:rPr>
          <w:rFonts w:ascii="Arial" w:hAnsi="Arial" w:cs="Arial"/>
        </w:rPr>
        <w:t>AR</w:t>
      </w:r>
      <w:r w:rsidR="00A67644">
        <w:rPr>
          <w:rFonts w:ascii="Arial" w:hAnsi="Arial" w:cs="Arial"/>
        </w:rPr>
        <w:t>)</w:t>
      </w:r>
      <w:r w:rsidRPr="002B75FE">
        <w:rPr>
          <w:rFonts w:ascii="Arial" w:hAnsi="Arial" w:cs="Arial"/>
        </w:rPr>
        <w:t xml:space="preserve"> </w:t>
      </w:r>
      <w:r w:rsidR="00964ECC">
        <w:rPr>
          <w:rFonts w:ascii="Arial" w:hAnsi="Arial" w:cs="Arial"/>
        </w:rPr>
        <w:t>are</w:t>
      </w:r>
      <w:r w:rsidRPr="002B75FE">
        <w:rPr>
          <w:rFonts w:ascii="Arial" w:hAnsi="Arial" w:cs="Arial"/>
        </w:rPr>
        <w:t xml:space="preserve"> different [1]</w:t>
      </w:r>
      <w:r>
        <w:rPr>
          <w:rFonts w:ascii="Arial" w:hAnsi="Arial" w:cs="Arial"/>
        </w:rPr>
        <w:t xml:space="preserve"> but </w:t>
      </w:r>
      <w:r w:rsidR="00086E96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suggest that </w:t>
      </w:r>
      <w:r w:rsidR="00086E96" w:rsidRPr="00245567">
        <w:rPr>
          <w:rFonts w:ascii="Arial" w:hAnsi="Arial" w:cs="Arial"/>
        </w:rPr>
        <w:t xml:space="preserve">motion-to-sound </w:t>
      </w:r>
      <w:r>
        <w:rPr>
          <w:rFonts w:ascii="Arial" w:hAnsi="Arial" w:cs="Arial"/>
        </w:rPr>
        <w:t xml:space="preserve">latencies </w:t>
      </w:r>
      <w:r w:rsidR="00D400D2">
        <w:rPr>
          <w:rFonts w:ascii="Arial" w:hAnsi="Arial" w:cs="Arial"/>
        </w:rPr>
        <w:t xml:space="preserve">significantly </w:t>
      </w:r>
      <w:r w:rsidR="000F5B79" w:rsidRPr="000F5B79">
        <w:rPr>
          <w:rFonts w:ascii="Arial" w:hAnsi="Arial" w:cs="Arial"/>
        </w:rPr>
        <w:t>higher than those suggested by SA1</w:t>
      </w:r>
      <w:r>
        <w:rPr>
          <w:rFonts w:ascii="Arial" w:hAnsi="Arial" w:cs="Arial"/>
        </w:rPr>
        <w:t xml:space="preserve"> may </w:t>
      </w:r>
      <w:r w:rsidR="00F139F7">
        <w:rPr>
          <w:rFonts w:ascii="Arial" w:hAnsi="Arial" w:cs="Arial"/>
        </w:rPr>
        <w:t xml:space="preserve">not be </w:t>
      </w:r>
      <w:r w:rsidR="00CC74A7">
        <w:rPr>
          <w:rFonts w:ascii="Arial" w:hAnsi="Arial" w:cs="Arial"/>
        </w:rPr>
        <w:t>reliably perceptib</w:t>
      </w:r>
      <w:r w:rsidR="00F139F7">
        <w:rPr>
          <w:rFonts w:ascii="Arial" w:hAnsi="Arial" w:cs="Arial"/>
        </w:rPr>
        <w:t>le by users</w:t>
      </w:r>
      <w:r w:rsidR="00086E96">
        <w:rPr>
          <w:rFonts w:ascii="Arial" w:hAnsi="Arial" w:cs="Arial"/>
        </w:rPr>
        <w:t xml:space="preserve"> [1,2].</w:t>
      </w:r>
      <w:r w:rsidR="00F80F2E">
        <w:rPr>
          <w:rFonts w:ascii="Arial" w:hAnsi="Arial" w:cs="Arial"/>
        </w:rPr>
        <w:t xml:space="preserve"> These studies </w:t>
      </w:r>
      <w:r w:rsidR="00057FAA">
        <w:rPr>
          <w:rFonts w:ascii="Arial" w:hAnsi="Arial" w:cs="Arial"/>
        </w:rPr>
        <w:t>would tend to suggest that</w:t>
      </w:r>
      <w:r w:rsidR="00F80F2E">
        <w:rPr>
          <w:rFonts w:ascii="Arial" w:hAnsi="Arial" w:cs="Arial"/>
        </w:rPr>
        <w:t xml:space="preserve"> the </w:t>
      </w:r>
      <w:r w:rsidR="00057FAA">
        <w:rPr>
          <w:rFonts w:ascii="Arial" w:hAnsi="Arial" w:cs="Arial"/>
        </w:rPr>
        <w:t xml:space="preserve">figure of </w:t>
      </w:r>
      <w:r w:rsidR="00F80F2E">
        <w:rPr>
          <w:rFonts w:ascii="Arial" w:hAnsi="Arial" w:cs="Arial"/>
        </w:rPr>
        <w:t xml:space="preserve">20ms </w:t>
      </w:r>
      <w:r w:rsidR="00057FAA">
        <w:rPr>
          <w:rFonts w:ascii="Arial" w:hAnsi="Arial" w:cs="Arial"/>
        </w:rPr>
        <w:t xml:space="preserve">for the </w:t>
      </w:r>
      <w:r w:rsidR="00F80F2E" w:rsidRPr="00245567">
        <w:rPr>
          <w:rFonts w:ascii="Arial" w:hAnsi="Arial" w:cs="Arial"/>
        </w:rPr>
        <w:t>motion-to-sound latency</w:t>
      </w:r>
      <w:r w:rsidR="00F80F2E">
        <w:rPr>
          <w:rFonts w:ascii="Arial" w:hAnsi="Arial" w:cs="Arial"/>
        </w:rPr>
        <w:t xml:space="preserve"> requirement included in </w:t>
      </w:r>
      <w:r w:rsidR="00F80F2E" w:rsidRPr="00290627">
        <w:rPr>
          <w:rFonts w:ascii="Arial" w:hAnsi="Arial" w:cs="Arial"/>
        </w:rPr>
        <w:t>TS 22.261</w:t>
      </w:r>
      <w:r w:rsidR="00057FAA">
        <w:rPr>
          <w:rFonts w:ascii="Arial" w:hAnsi="Arial" w:cs="Arial"/>
        </w:rPr>
        <w:t xml:space="preserve"> m</w:t>
      </w:r>
      <w:r w:rsidR="0038341B">
        <w:rPr>
          <w:rFonts w:ascii="Arial" w:hAnsi="Arial" w:cs="Arial"/>
        </w:rPr>
        <w:t>ight</w:t>
      </w:r>
      <w:r w:rsidR="00057FAA">
        <w:rPr>
          <w:rFonts w:ascii="Arial" w:hAnsi="Arial" w:cs="Arial"/>
        </w:rPr>
        <w:t xml:space="preserve"> be unnecessarily strict</w:t>
      </w:r>
      <w:r w:rsidR="00F80F2E">
        <w:rPr>
          <w:rFonts w:ascii="Arial" w:hAnsi="Arial" w:cs="Arial"/>
        </w:rPr>
        <w:t>.</w:t>
      </w:r>
    </w:p>
    <w:p w14:paraId="6AFE6716" w14:textId="77777777" w:rsidR="00086E96" w:rsidRDefault="00086E96" w:rsidP="002B75FE">
      <w:pPr>
        <w:pStyle w:val="Header"/>
        <w:rPr>
          <w:rFonts w:ascii="Arial" w:hAnsi="Arial" w:cs="Arial"/>
        </w:rPr>
      </w:pPr>
    </w:p>
    <w:p w14:paraId="3CC5A3A4" w14:textId="0E9E15D3" w:rsidR="002B75FE" w:rsidRPr="002B75FE" w:rsidRDefault="002B75FE" w:rsidP="002B75FE">
      <w:pPr>
        <w:pStyle w:val="Header"/>
        <w:rPr>
          <w:rFonts w:ascii="Arial" w:hAnsi="Arial" w:cs="Arial"/>
        </w:rPr>
      </w:pPr>
      <w:r w:rsidRPr="002B75FE">
        <w:rPr>
          <w:rFonts w:ascii="Arial" w:hAnsi="Arial" w:cs="Arial"/>
        </w:rPr>
        <w:t>In the case of VR, the user is immersed in a wholly artificial situation where there is no real</w:t>
      </w:r>
      <w:r w:rsidR="00297912">
        <w:rPr>
          <w:rFonts w:ascii="Arial" w:hAnsi="Arial" w:cs="Arial"/>
        </w:rPr>
        <w:t>-</w:t>
      </w:r>
      <w:r w:rsidRPr="002B75FE">
        <w:rPr>
          <w:rFonts w:ascii="Arial" w:hAnsi="Arial" w:cs="Arial"/>
        </w:rPr>
        <w:t xml:space="preserve">world </w:t>
      </w:r>
      <w:r w:rsidR="002007AA">
        <w:rPr>
          <w:rFonts w:ascii="Arial" w:hAnsi="Arial" w:cs="Arial"/>
        </w:rPr>
        <w:t xml:space="preserve">sound source with </w:t>
      </w:r>
      <w:r w:rsidRPr="002B75FE">
        <w:rPr>
          <w:rFonts w:ascii="Arial" w:hAnsi="Arial" w:cs="Arial"/>
        </w:rPr>
        <w:t xml:space="preserve">zero latency to highlight the </w:t>
      </w:r>
      <w:r w:rsidR="002007AA">
        <w:rPr>
          <w:rFonts w:ascii="Arial" w:hAnsi="Arial" w:cs="Arial"/>
        </w:rPr>
        <w:t>motion-to-sound</w:t>
      </w:r>
      <w:r w:rsidRPr="002B75FE">
        <w:rPr>
          <w:rFonts w:ascii="Arial" w:hAnsi="Arial" w:cs="Arial"/>
        </w:rPr>
        <w:t xml:space="preserve"> latency of the system. In the case of AR applications however, both real-world and artificial sounds will be heard by listeners simultaneously during head movement</w:t>
      </w:r>
      <w:r w:rsidR="003810A9">
        <w:rPr>
          <w:rFonts w:ascii="Arial" w:hAnsi="Arial" w:cs="Arial"/>
        </w:rPr>
        <w:t>.</w:t>
      </w:r>
      <w:r w:rsidR="003810A9" w:rsidRPr="003810A9">
        <w:t xml:space="preserve"> </w:t>
      </w:r>
      <w:r w:rsidR="003810A9" w:rsidRPr="003810A9">
        <w:rPr>
          <w:rFonts w:ascii="Arial" w:hAnsi="Arial" w:cs="Arial"/>
        </w:rPr>
        <w:t>SA4 is still debating the significance of the results and conclusions provided in [1].</w:t>
      </w:r>
    </w:p>
    <w:p w14:paraId="05238CBE" w14:textId="77777777" w:rsidR="002B75FE" w:rsidRPr="002B75FE" w:rsidRDefault="002B75FE" w:rsidP="002B75FE">
      <w:pPr>
        <w:pStyle w:val="Header"/>
        <w:rPr>
          <w:rFonts w:ascii="Arial" w:hAnsi="Arial" w:cs="Arial"/>
        </w:rPr>
      </w:pPr>
    </w:p>
    <w:p w14:paraId="3FDB1769" w14:textId="206071CE" w:rsidR="00086E96" w:rsidRPr="00CC74A7" w:rsidRDefault="00086E96" w:rsidP="00086E96">
      <w:pPr>
        <w:pStyle w:val="Header"/>
        <w:rPr>
          <w:rFonts w:ascii="Arial" w:hAnsi="Arial" w:cs="Arial"/>
        </w:rPr>
      </w:pPr>
      <w:r w:rsidRPr="00CC74A7">
        <w:rPr>
          <w:rFonts w:ascii="Arial" w:hAnsi="Arial" w:cs="Arial"/>
        </w:rPr>
        <w:t>These studies [1,2] do not include a simultaneously rendered video component which may influence the perception of these latencies</w:t>
      </w:r>
      <w:r w:rsidR="00964ECC">
        <w:rPr>
          <w:rFonts w:ascii="Arial" w:hAnsi="Arial" w:cs="Arial"/>
        </w:rPr>
        <w:t>.</w:t>
      </w:r>
      <w:r w:rsidRPr="00CC74A7">
        <w:rPr>
          <w:rFonts w:ascii="Arial" w:hAnsi="Arial" w:cs="Arial"/>
        </w:rPr>
        <w:t xml:space="preserve"> </w:t>
      </w:r>
      <w:r w:rsidR="00964ECC">
        <w:rPr>
          <w:rFonts w:ascii="Arial" w:hAnsi="Arial" w:cs="Arial"/>
        </w:rPr>
        <w:t>I</w:t>
      </w:r>
      <w:r w:rsidRPr="00CC74A7">
        <w:rPr>
          <w:rFonts w:ascii="Arial" w:hAnsi="Arial" w:cs="Arial"/>
        </w:rPr>
        <w:t xml:space="preserve">t is unclear whether </w:t>
      </w:r>
      <w:r w:rsidR="0012382E" w:rsidRPr="0012382E">
        <w:rPr>
          <w:rFonts w:ascii="Arial" w:hAnsi="Arial" w:cs="Arial"/>
        </w:rPr>
        <w:t>such simultaneous rendering of video and audio</w:t>
      </w:r>
      <w:r w:rsidRPr="00CC74A7">
        <w:rPr>
          <w:rFonts w:ascii="Arial" w:hAnsi="Arial" w:cs="Arial"/>
        </w:rPr>
        <w:t xml:space="preserve"> will result in a relaxation or tightening of the motion-to-sound latency requirements. More extensive studies are highly desirable however; considering greater numbers of subjects, personalized </w:t>
      </w:r>
      <w:r w:rsidR="00A67644">
        <w:rPr>
          <w:rFonts w:ascii="Arial" w:hAnsi="Arial" w:cs="Arial"/>
        </w:rPr>
        <w:t>Head Related Transfer Functions (</w:t>
      </w:r>
      <w:r w:rsidRPr="00CC74A7">
        <w:rPr>
          <w:rFonts w:ascii="Arial" w:hAnsi="Arial" w:cs="Arial"/>
        </w:rPr>
        <w:t>HRTFs</w:t>
      </w:r>
      <w:r w:rsidR="00A67644">
        <w:rPr>
          <w:rFonts w:ascii="Arial" w:hAnsi="Arial" w:cs="Arial"/>
        </w:rPr>
        <w:t>)</w:t>
      </w:r>
      <w:r w:rsidRPr="00CC74A7">
        <w:rPr>
          <w:rFonts w:ascii="Arial" w:hAnsi="Arial" w:cs="Arial"/>
        </w:rPr>
        <w:t>, and using VR/AR equipment more closely representative of the current state-of-the-art.</w:t>
      </w:r>
    </w:p>
    <w:p w14:paraId="531DEE6F" w14:textId="77777777" w:rsidR="00086E96" w:rsidRPr="00CC74A7" w:rsidRDefault="00086E96" w:rsidP="00086E96">
      <w:pPr>
        <w:pStyle w:val="Header"/>
        <w:rPr>
          <w:rFonts w:ascii="Arial" w:hAnsi="Arial" w:cs="Arial"/>
          <w:i/>
        </w:rPr>
      </w:pPr>
    </w:p>
    <w:p w14:paraId="3E51099E" w14:textId="7B8C0669" w:rsidR="002B75FE" w:rsidRPr="00A67644" w:rsidRDefault="003810A9" w:rsidP="002B75FE">
      <w:pPr>
        <w:pStyle w:val="Header"/>
        <w:rPr>
          <w:rFonts w:ascii="Arial" w:hAnsi="Arial" w:cs="Arial"/>
        </w:rPr>
      </w:pPr>
      <w:r w:rsidRPr="003810A9">
        <w:rPr>
          <w:rFonts w:ascii="Arial" w:hAnsi="Arial" w:cs="Arial"/>
        </w:rPr>
        <w:t xml:space="preserve">In deriving appropriate motion-to-photon latencies, the human </w:t>
      </w:r>
      <w:r w:rsidR="002B75FE" w:rsidRPr="00A67644">
        <w:rPr>
          <w:rFonts w:ascii="Arial" w:hAnsi="Arial" w:cs="Arial"/>
        </w:rPr>
        <w:t>angular or rotational vestibulo-ocular reflex dominates (where the gaze is shifted in direct response to head orientation changes detected by the vestibular system by an equal and opposite reaction). The latency of th</w:t>
      </w:r>
      <w:r w:rsidR="00C27952">
        <w:rPr>
          <w:rFonts w:ascii="Arial" w:hAnsi="Arial" w:cs="Arial"/>
        </w:rPr>
        <w:t>e</w:t>
      </w:r>
      <w:r w:rsidR="002B75FE" w:rsidRPr="00A67644">
        <w:rPr>
          <w:rFonts w:ascii="Arial" w:hAnsi="Arial" w:cs="Arial"/>
        </w:rPr>
        <w:t xml:space="preserve"> </w:t>
      </w:r>
      <w:r w:rsidR="00C27952" w:rsidRPr="00A67644">
        <w:rPr>
          <w:rFonts w:ascii="Arial" w:hAnsi="Arial" w:cs="Arial"/>
        </w:rPr>
        <w:t xml:space="preserve">vestibulo-ocular </w:t>
      </w:r>
      <w:r w:rsidR="002B75FE" w:rsidRPr="00A67644">
        <w:rPr>
          <w:rFonts w:ascii="Arial" w:hAnsi="Arial" w:cs="Arial"/>
        </w:rPr>
        <w:t>reflex is known to be of the order of 10ms [</w:t>
      </w:r>
      <w:r w:rsidR="00086E96" w:rsidRPr="00A67644">
        <w:rPr>
          <w:rFonts w:ascii="Arial" w:hAnsi="Arial" w:cs="Arial"/>
        </w:rPr>
        <w:t>3</w:t>
      </w:r>
      <w:r w:rsidR="002B75FE" w:rsidRPr="00A67644">
        <w:rPr>
          <w:rFonts w:ascii="Arial" w:hAnsi="Arial" w:cs="Arial"/>
        </w:rPr>
        <w:t>]</w:t>
      </w:r>
      <w:r w:rsidR="00086E96" w:rsidRPr="00A67644">
        <w:rPr>
          <w:rFonts w:ascii="Arial" w:hAnsi="Arial" w:cs="Arial"/>
        </w:rPr>
        <w:t xml:space="preserve"> or in a range from 7-15ms [4</w:t>
      </w:r>
      <w:r w:rsidR="00C27952">
        <w:rPr>
          <w:rFonts w:ascii="Arial" w:hAnsi="Arial" w:cs="Arial"/>
        </w:rPr>
        <w:t>]</w:t>
      </w:r>
      <w:r w:rsidR="00964ECC">
        <w:rPr>
          <w:rFonts w:ascii="Arial" w:hAnsi="Arial" w:cs="Arial"/>
        </w:rPr>
        <w:t>.</w:t>
      </w:r>
      <w:r w:rsidR="00C27952">
        <w:rPr>
          <w:rFonts w:ascii="Arial" w:hAnsi="Arial" w:cs="Arial"/>
        </w:rPr>
        <w:t xml:space="preserve"> but no such equivalent reflex exists in the auditory chain.</w:t>
      </w:r>
    </w:p>
    <w:p w14:paraId="45EABE73" w14:textId="77777777" w:rsidR="00CC74A7" w:rsidRPr="00A67644" w:rsidRDefault="00CC74A7" w:rsidP="002B75FE">
      <w:pPr>
        <w:pStyle w:val="Header"/>
        <w:rPr>
          <w:rFonts w:ascii="Arial" w:hAnsi="Arial" w:cs="Arial"/>
        </w:rPr>
      </w:pPr>
    </w:p>
    <w:p w14:paraId="599929A0" w14:textId="2BF74572" w:rsidR="00EA4B5D" w:rsidRDefault="00CC74A7" w:rsidP="002B75FE">
      <w:pPr>
        <w:pStyle w:val="Header"/>
        <w:rPr>
          <w:rFonts w:ascii="Arial" w:hAnsi="Arial" w:cs="Arial"/>
        </w:rPr>
      </w:pPr>
      <w:r w:rsidRPr="00A67644">
        <w:rPr>
          <w:rFonts w:ascii="Arial" w:hAnsi="Arial" w:cs="Arial"/>
        </w:rPr>
        <w:t xml:space="preserve">The audio experts in SA4 will continue to discuss requirements for the motion-to-sound latency of VR systems and will keep SA1 informed of </w:t>
      </w:r>
      <w:r w:rsidR="00F80F2E">
        <w:rPr>
          <w:rFonts w:ascii="Arial" w:hAnsi="Arial" w:cs="Arial"/>
        </w:rPr>
        <w:t>their finding</w:t>
      </w:r>
      <w:r w:rsidRPr="00A67644">
        <w:rPr>
          <w:rFonts w:ascii="Arial" w:hAnsi="Arial" w:cs="Arial"/>
        </w:rPr>
        <w:t>s in this area.</w:t>
      </w:r>
      <w:r w:rsidR="00EA4B5D">
        <w:rPr>
          <w:rFonts w:ascii="Arial" w:hAnsi="Arial" w:cs="Arial"/>
        </w:rPr>
        <w:t xml:space="preserve"> </w:t>
      </w:r>
      <w:r w:rsidR="007A73FB">
        <w:rPr>
          <w:rFonts w:ascii="Arial" w:hAnsi="Arial" w:cs="Arial"/>
        </w:rPr>
        <w:t xml:space="preserve">AR is currently out of the scope of SA4’s </w:t>
      </w:r>
      <w:r w:rsidR="007A73FB">
        <w:rPr>
          <w:rFonts w:ascii="Arial" w:hAnsi="Arial" w:cs="Arial"/>
          <w:bCs/>
        </w:rPr>
        <w:t>Feasibility Study on Virtual Reality.</w:t>
      </w:r>
    </w:p>
    <w:p w14:paraId="63DED5E2" w14:textId="77777777" w:rsidR="00EA4B5D" w:rsidRDefault="00EA4B5D" w:rsidP="002B75FE">
      <w:pPr>
        <w:pStyle w:val="Header"/>
        <w:rPr>
          <w:rFonts w:ascii="Arial" w:hAnsi="Arial" w:cs="Arial"/>
        </w:rPr>
      </w:pPr>
    </w:p>
    <w:p w14:paraId="76C03B7B" w14:textId="01619C3D" w:rsidR="00CC74A7" w:rsidRPr="00A67644" w:rsidRDefault="00EA4B5D" w:rsidP="002B75FE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SA4 would also like to inform SA1 that consideration is being given to</w:t>
      </w:r>
      <w:r w:rsidRPr="00EA4B5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defining more </w:t>
      </w:r>
      <w:r w:rsidRPr="00EA4B5D">
        <w:rPr>
          <w:rFonts w:ascii="Arial" w:hAnsi="Arial" w:cs="Arial"/>
        </w:rPr>
        <w:t>formal and descriptive term</w:t>
      </w:r>
      <w:r>
        <w:rPr>
          <w:rFonts w:ascii="Arial" w:hAnsi="Arial" w:cs="Arial"/>
        </w:rPr>
        <w:t>s</w:t>
      </w:r>
      <w:r w:rsidRPr="00EA4B5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place of the</w:t>
      </w:r>
      <w:r w:rsidRPr="00EA4B5D">
        <w:rPr>
          <w:rFonts w:ascii="Arial" w:hAnsi="Arial" w:cs="Arial"/>
        </w:rPr>
        <w:t xml:space="preserve"> more colloquial motion-to-photon</w:t>
      </w:r>
      <w:r>
        <w:rPr>
          <w:rFonts w:ascii="Arial" w:hAnsi="Arial" w:cs="Arial"/>
        </w:rPr>
        <w:t xml:space="preserve"> and motion-to-</w:t>
      </w:r>
      <w:r w:rsidR="004F0B92">
        <w:rPr>
          <w:rFonts w:ascii="Arial" w:hAnsi="Arial" w:cs="Arial"/>
        </w:rPr>
        <w:t>sound</w:t>
      </w:r>
      <w:r>
        <w:rPr>
          <w:rFonts w:ascii="Arial" w:hAnsi="Arial" w:cs="Arial"/>
        </w:rPr>
        <w:t xml:space="preserve"> terms. A more explanatory</w:t>
      </w:r>
      <w:r w:rsidRPr="00EA4B5D">
        <w:rPr>
          <w:rFonts w:ascii="Arial" w:hAnsi="Arial" w:cs="Arial"/>
        </w:rPr>
        <w:t xml:space="preserve"> term “head motion compensation”, preceded</w:t>
      </w:r>
      <w:r>
        <w:rPr>
          <w:rFonts w:ascii="Arial" w:hAnsi="Arial" w:cs="Arial"/>
        </w:rPr>
        <w:t>,</w:t>
      </w:r>
      <w:r w:rsidRPr="00EA4B5D">
        <w:rPr>
          <w:rFonts w:ascii="Arial" w:hAnsi="Arial" w:cs="Arial"/>
        </w:rPr>
        <w:t xml:space="preserve"> as necessary</w:t>
      </w:r>
      <w:r>
        <w:rPr>
          <w:rFonts w:ascii="Arial" w:hAnsi="Arial" w:cs="Arial"/>
        </w:rPr>
        <w:t>,</w:t>
      </w:r>
      <w:r w:rsidRPr="00EA4B5D">
        <w:rPr>
          <w:rFonts w:ascii="Arial" w:hAnsi="Arial" w:cs="Arial"/>
        </w:rPr>
        <w:t xml:space="preserve"> by a media type e.g. “video head motion compensation” </w:t>
      </w:r>
      <w:r>
        <w:rPr>
          <w:rFonts w:ascii="Arial" w:hAnsi="Arial" w:cs="Arial"/>
        </w:rPr>
        <w:t>is currently under consideration</w:t>
      </w:r>
      <w:r w:rsidRPr="00EA4B5D">
        <w:rPr>
          <w:rFonts w:ascii="Arial" w:hAnsi="Arial" w:cs="Arial"/>
        </w:rPr>
        <w:t>.</w:t>
      </w:r>
      <w:r w:rsidR="0012382E">
        <w:rPr>
          <w:rFonts w:ascii="Arial" w:hAnsi="Arial" w:cs="Arial"/>
        </w:rPr>
        <w:t xml:space="preserve"> </w:t>
      </w:r>
      <w:r w:rsidR="0012382E" w:rsidRPr="0012382E">
        <w:rPr>
          <w:rFonts w:ascii="Arial" w:hAnsi="Arial" w:cs="Arial"/>
        </w:rPr>
        <w:t xml:space="preserve">SA4 will also consider </w:t>
      </w:r>
      <w:r w:rsidR="0012382E">
        <w:rPr>
          <w:rFonts w:ascii="Arial" w:hAnsi="Arial" w:cs="Arial"/>
        </w:rPr>
        <w:t xml:space="preserve">whether </w:t>
      </w:r>
      <w:r w:rsidR="0012382E" w:rsidRPr="0012382E">
        <w:rPr>
          <w:rFonts w:ascii="Arial" w:hAnsi="Arial" w:cs="Arial"/>
        </w:rPr>
        <w:t>other performance requirements related to audio rendering of sound sources in response to user interaction</w:t>
      </w:r>
      <w:r w:rsidR="0012382E">
        <w:rPr>
          <w:rFonts w:ascii="Arial" w:hAnsi="Arial" w:cs="Arial"/>
        </w:rPr>
        <w:t xml:space="preserve"> are necessary.</w:t>
      </w:r>
    </w:p>
    <w:p w14:paraId="47B6CB9A" w14:textId="77777777" w:rsidR="002B75FE" w:rsidRPr="002B75FE" w:rsidRDefault="002B75FE" w:rsidP="002B75FE">
      <w:pPr>
        <w:pStyle w:val="Header"/>
        <w:rPr>
          <w:rFonts w:ascii="Arial" w:hAnsi="Arial" w:cs="Arial"/>
        </w:rPr>
      </w:pPr>
    </w:p>
    <w:p w14:paraId="4AADBEC4" w14:textId="77777777" w:rsidR="002B75FE" w:rsidRPr="00086E96" w:rsidRDefault="002B75FE" w:rsidP="002B75FE">
      <w:pPr>
        <w:pStyle w:val="Header"/>
        <w:rPr>
          <w:rFonts w:ascii="Arial" w:hAnsi="Arial" w:cs="Arial"/>
          <w:b/>
        </w:rPr>
      </w:pPr>
      <w:r w:rsidRPr="00086E96">
        <w:rPr>
          <w:rFonts w:ascii="Arial" w:hAnsi="Arial" w:cs="Arial"/>
          <w:b/>
        </w:rPr>
        <w:t>References</w:t>
      </w:r>
    </w:p>
    <w:p w14:paraId="067C4DA8" w14:textId="77777777" w:rsidR="002B75FE" w:rsidRPr="002B75FE" w:rsidRDefault="002B75FE" w:rsidP="002B75FE">
      <w:pPr>
        <w:pStyle w:val="Header"/>
        <w:rPr>
          <w:rFonts w:ascii="Arial" w:hAnsi="Arial" w:cs="Arial"/>
        </w:rPr>
      </w:pPr>
      <w:r w:rsidRPr="002B75FE">
        <w:rPr>
          <w:rFonts w:ascii="Arial" w:hAnsi="Arial" w:cs="Arial"/>
        </w:rPr>
        <w:t>[</w:t>
      </w:r>
      <w:r>
        <w:rPr>
          <w:rFonts w:ascii="Arial" w:hAnsi="Arial" w:cs="Arial"/>
        </w:rPr>
        <w:t>1</w:t>
      </w:r>
      <w:r w:rsidRPr="002B75FE">
        <w:rPr>
          <w:rFonts w:ascii="Arial" w:hAnsi="Arial" w:cs="Arial"/>
        </w:rPr>
        <w:t xml:space="preserve">] Brungart et al., “Effects of Headtracker Latency in Virtual Audio Displays”, Proceedings of International Conference on Auditory Display; ICAD-05, July 2005 at </w:t>
      </w:r>
      <w:hyperlink r:id="rId9" w:history="1">
        <w:r w:rsidR="00775617" w:rsidRPr="0052745F">
          <w:rPr>
            <w:rStyle w:val="Hyperlink"/>
            <w:rFonts w:ascii="Arial" w:hAnsi="Arial" w:cs="Arial"/>
          </w:rPr>
          <w:t>http://www.dev.icad.org/Proceedings/2005/BrungartSimpson2005.pdf</w:t>
        </w:r>
      </w:hyperlink>
      <w:r w:rsidR="00775617">
        <w:rPr>
          <w:rFonts w:ascii="Arial" w:hAnsi="Arial" w:cs="Arial"/>
        </w:rPr>
        <w:t xml:space="preserve"> </w:t>
      </w:r>
    </w:p>
    <w:p w14:paraId="69BBE172" w14:textId="77777777" w:rsidR="002B75FE" w:rsidRPr="002B75FE" w:rsidRDefault="002B75FE" w:rsidP="002B75FE">
      <w:pPr>
        <w:pStyle w:val="Header"/>
        <w:rPr>
          <w:rFonts w:ascii="Arial" w:hAnsi="Arial" w:cs="Arial"/>
        </w:rPr>
      </w:pPr>
    </w:p>
    <w:p w14:paraId="67C4D430" w14:textId="77777777" w:rsidR="002B75FE" w:rsidRPr="00775617" w:rsidRDefault="002B75FE" w:rsidP="002B75FE">
      <w:pPr>
        <w:pStyle w:val="Header"/>
        <w:rPr>
          <w:rStyle w:val="Hyperlink"/>
          <w:rFonts w:ascii="Arial" w:hAnsi="Arial" w:cs="Arial"/>
        </w:rPr>
      </w:pPr>
      <w:r w:rsidRPr="002B75FE">
        <w:rPr>
          <w:rFonts w:ascii="Arial" w:hAnsi="Arial" w:cs="Arial"/>
        </w:rPr>
        <w:t>[</w:t>
      </w:r>
      <w:r>
        <w:rPr>
          <w:rFonts w:ascii="Arial" w:hAnsi="Arial" w:cs="Arial"/>
        </w:rPr>
        <w:t>2</w:t>
      </w:r>
      <w:r w:rsidRPr="002B75FE">
        <w:rPr>
          <w:rFonts w:ascii="Arial" w:hAnsi="Arial" w:cs="Arial"/>
        </w:rPr>
        <w:t xml:space="preserve">] Lindau, Alexander: “The Perception of System Latency in Dynamic Binaural Synthesis , 2009”, at </w:t>
      </w:r>
      <w:r w:rsidRPr="00775617">
        <w:rPr>
          <w:rStyle w:val="Hyperlink"/>
          <w:rFonts w:ascii="Arial" w:hAnsi="Arial" w:cs="Arial"/>
        </w:rPr>
        <w:t>https://www2.ak.tu-berlin.de/~akgroup/ak_pub/2009/Lindau_2009_The_Perception_of_System_Latency_in_Dynamic_Binaural_Synthesis.pdf#</w:t>
      </w:r>
    </w:p>
    <w:p w14:paraId="050D265C" w14:textId="77777777" w:rsidR="002B75FE" w:rsidRPr="002B75FE" w:rsidRDefault="002B75FE" w:rsidP="002B75FE">
      <w:pPr>
        <w:pStyle w:val="Header"/>
        <w:rPr>
          <w:rFonts w:ascii="Arial" w:hAnsi="Arial" w:cs="Arial"/>
        </w:rPr>
      </w:pPr>
    </w:p>
    <w:p w14:paraId="648540A1" w14:textId="77777777" w:rsidR="002B75FE" w:rsidRPr="002B75FE" w:rsidRDefault="002B75FE" w:rsidP="002B75FE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[3</w:t>
      </w:r>
      <w:r w:rsidRPr="002B75FE">
        <w:rPr>
          <w:rFonts w:ascii="Arial" w:hAnsi="Arial" w:cs="Arial"/>
        </w:rPr>
        <w:t xml:space="preserve">] Jombı´k P, Bahy´l V, “Short latency disconjugate vestibulo-ocular responses to transient stimuli in the audio frequency range.” Journal of Neurology, Neurosurgery, and Psychiatry; Vol 76 No 10, Oct 2005 pp 1398-1402, at  </w:t>
      </w:r>
      <w:hyperlink r:id="rId10" w:history="1">
        <w:r w:rsidRPr="0052745F">
          <w:rPr>
            <w:rStyle w:val="Hyperlink"/>
            <w:rFonts w:ascii="Arial" w:hAnsi="Arial" w:cs="Arial"/>
          </w:rPr>
          <w:t>https://www.ncbi.nlm.nih.gov/pmc/articles/PMC1739361/pdf/v076p01398.pdf</w:t>
        </w:r>
      </w:hyperlink>
      <w:r>
        <w:rPr>
          <w:rFonts w:ascii="Arial" w:hAnsi="Arial" w:cs="Arial"/>
        </w:rPr>
        <w:t xml:space="preserve"> </w:t>
      </w:r>
    </w:p>
    <w:p w14:paraId="670D5CF1" w14:textId="77777777" w:rsidR="002B75FE" w:rsidRPr="002B75FE" w:rsidRDefault="002B75FE" w:rsidP="002B75FE">
      <w:pPr>
        <w:pStyle w:val="Header"/>
        <w:rPr>
          <w:rFonts w:ascii="Arial" w:hAnsi="Arial" w:cs="Arial"/>
        </w:rPr>
      </w:pPr>
    </w:p>
    <w:p w14:paraId="06B37E71" w14:textId="77777777" w:rsidR="00463675" w:rsidRDefault="002B75FE" w:rsidP="002B75F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2B75FE">
        <w:rPr>
          <w:rFonts w:ascii="Arial" w:hAnsi="Arial" w:cs="Arial"/>
        </w:rPr>
        <w:t>[</w:t>
      </w:r>
      <w:r>
        <w:rPr>
          <w:rFonts w:ascii="Arial" w:hAnsi="Arial" w:cs="Arial"/>
        </w:rPr>
        <w:t>4</w:t>
      </w:r>
      <w:r w:rsidRPr="002B75FE">
        <w:rPr>
          <w:rFonts w:ascii="Arial" w:hAnsi="Arial" w:cs="Arial"/>
        </w:rPr>
        <w:t xml:space="preserve">] Amin M.S, “Vestibuloocular Reflex Testing” Medscape Article Number 1836134, Feb 10 2016 at </w:t>
      </w:r>
      <w:hyperlink r:id="rId11" w:history="1">
        <w:r w:rsidRPr="0052745F">
          <w:rPr>
            <w:rStyle w:val="Hyperlink"/>
            <w:rFonts w:ascii="Arial" w:hAnsi="Arial" w:cs="Arial"/>
          </w:rPr>
          <w:t>http://emedicine.medscape.com/article/1836134-overview</w:t>
        </w:r>
      </w:hyperlink>
      <w:r w:rsidRPr="002B75FE">
        <w:rPr>
          <w:rFonts w:ascii="Arial" w:hAnsi="Arial" w:cs="Arial"/>
        </w:rPr>
        <w:t>.</w:t>
      </w:r>
    </w:p>
    <w:p w14:paraId="2F067651" w14:textId="77777777" w:rsidR="002B75FE" w:rsidRPr="00290627" w:rsidRDefault="002B75FE" w:rsidP="002B75F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5F5BCEC" w14:textId="77777777" w:rsidR="00463675" w:rsidRPr="00290627" w:rsidRDefault="00463675">
      <w:pPr>
        <w:spacing w:after="120"/>
        <w:rPr>
          <w:rFonts w:ascii="Arial" w:hAnsi="Arial" w:cs="Arial"/>
          <w:b/>
        </w:rPr>
      </w:pPr>
      <w:r w:rsidRPr="00290627">
        <w:rPr>
          <w:rFonts w:ascii="Arial" w:hAnsi="Arial" w:cs="Arial"/>
          <w:b/>
        </w:rPr>
        <w:t>2. Actions:</w:t>
      </w:r>
    </w:p>
    <w:p w14:paraId="5F5D65C0" w14:textId="77777777" w:rsidR="00463675" w:rsidRPr="0029062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90627">
        <w:rPr>
          <w:rFonts w:ascii="Arial" w:hAnsi="Arial" w:cs="Arial"/>
          <w:b/>
        </w:rPr>
        <w:t xml:space="preserve">To </w:t>
      </w:r>
      <w:r w:rsidR="00290627" w:rsidRPr="00290627">
        <w:rPr>
          <w:rFonts w:ascii="Arial" w:hAnsi="Arial" w:cs="Arial"/>
          <w:b/>
        </w:rPr>
        <w:t>SA4</w:t>
      </w:r>
      <w:r w:rsidRPr="00290627">
        <w:rPr>
          <w:rFonts w:ascii="Arial" w:hAnsi="Arial" w:cs="Arial"/>
          <w:b/>
        </w:rPr>
        <w:t xml:space="preserve"> group.</w:t>
      </w:r>
    </w:p>
    <w:p w14:paraId="1D15638C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290627">
        <w:rPr>
          <w:rFonts w:ascii="Arial" w:hAnsi="Arial" w:cs="Arial"/>
          <w:b/>
        </w:rPr>
        <w:t xml:space="preserve">ACTION: </w:t>
      </w:r>
      <w:r w:rsidRPr="00290627">
        <w:rPr>
          <w:rFonts w:ascii="Arial" w:hAnsi="Arial" w:cs="Arial"/>
          <w:b/>
        </w:rPr>
        <w:tab/>
      </w:r>
      <w:r w:rsidR="003F5F4D">
        <w:rPr>
          <w:rFonts w:ascii="Arial" w:hAnsi="Arial" w:cs="Arial"/>
        </w:rPr>
        <w:t>SA</w:t>
      </w:r>
      <w:r w:rsidR="00392B4F">
        <w:rPr>
          <w:rFonts w:ascii="Arial" w:hAnsi="Arial" w:cs="Arial"/>
        </w:rPr>
        <w:t>4</w:t>
      </w:r>
      <w:r w:rsidR="003F5F4D">
        <w:rPr>
          <w:rFonts w:ascii="Arial" w:hAnsi="Arial" w:cs="Arial"/>
        </w:rPr>
        <w:t xml:space="preserve"> asks SA</w:t>
      </w:r>
      <w:r w:rsidR="00392B4F">
        <w:rPr>
          <w:rFonts w:ascii="Arial" w:hAnsi="Arial" w:cs="Arial"/>
        </w:rPr>
        <w:t>1</w:t>
      </w:r>
      <w:r w:rsidR="003F5F4D">
        <w:rPr>
          <w:rFonts w:ascii="Arial" w:hAnsi="Arial" w:cs="Arial"/>
        </w:rPr>
        <w:t xml:space="preserve"> to take th</w:t>
      </w:r>
      <w:r w:rsidR="00392B4F">
        <w:rPr>
          <w:rFonts w:ascii="Arial" w:hAnsi="Arial" w:cs="Arial"/>
        </w:rPr>
        <w:t xml:space="preserve">e comments on motion-to-sound latency into account in future revisions of </w:t>
      </w:r>
      <w:r w:rsidR="00392B4F" w:rsidRPr="00290627">
        <w:rPr>
          <w:rFonts w:ascii="Arial" w:hAnsi="Arial" w:cs="Arial"/>
        </w:rPr>
        <w:t>TS 22.261</w:t>
      </w:r>
      <w:r w:rsidR="000E1D36" w:rsidRPr="000E1D36">
        <w:rPr>
          <w:rFonts w:ascii="Arial" w:hAnsi="Arial" w:cs="Arial"/>
        </w:rPr>
        <w:t>.</w:t>
      </w:r>
    </w:p>
    <w:p w14:paraId="5898C1CF" w14:textId="77777777" w:rsidR="000E1D36" w:rsidRDefault="000E1D36">
      <w:pPr>
        <w:spacing w:after="120"/>
        <w:ind w:left="993" w:hanging="993"/>
        <w:rPr>
          <w:rFonts w:ascii="Arial" w:hAnsi="Arial" w:cs="Arial"/>
        </w:rPr>
      </w:pPr>
    </w:p>
    <w:p w14:paraId="774FF4C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943FB7">
        <w:rPr>
          <w:rFonts w:ascii="Arial" w:hAnsi="Arial" w:cs="Arial"/>
          <w:b/>
        </w:rPr>
        <w:t>. Date of Next TSG SA WG</w:t>
      </w:r>
      <w:r w:rsidR="00175B3D">
        <w:rPr>
          <w:rFonts w:ascii="Arial" w:hAnsi="Arial" w:cs="Arial"/>
          <w:b/>
        </w:rPr>
        <w:t>4</w:t>
      </w:r>
      <w:r w:rsidR="00943FB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Meetings:</w:t>
      </w:r>
    </w:p>
    <w:p w14:paraId="516E09D9" w14:textId="77777777" w:rsidR="001B691D" w:rsidRPr="001F0E80" w:rsidRDefault="001B691D" w:rsidP="001B691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  <w:lang w:val="en-US"/>
        </w:rPr>
      </w:pPr>
      <w:r w:rsidRPr="001F0E80">
        <w:rPr>
          <w:rFonts w:ascii="Arial" w:hAnsi="Arial"/>
          <w:lang w:val="en-US"/>
        </w:rPr>
        <w:t>SA</w:t>
      </w:r>
      <w:r w:rsidR="00175B3D">
        <w:rPr>
          <w:rFonts w:ascii="Arial" w:hAnsi="Arial"/>
          <w:lang w:val="en-US"/>
        </w:rPr>
        <w:t>4</w:t>
      </w:r>
      <w:r w:rsidRPr="001F0E80">
        <w:rPr>
          <w:rFonts w:ascii="Arial" w:hAnsi="Arial"/>
          <w:lang w:val="en-US"/>
        </w:rPr>
        <w:t>#</w:t>
      </w:r>
      <w:r w:rsidR="00175B3D">
        <w:rPr>
          <w:rFonts w:ascii="Arial" w:hAnsi="Arial"/>
          <w:lang w:val="en-US"/>
        </w:rPr>
        <w:t>9</w:t>
      </w:r>
      <w:r w:rsidR="006029CA">
        <w:rPr>
          <w:rFonts w:ascii="Arial" w:hAnsi="Arial"/>
          <w:lang w:val="en-US"/>
        </w:rPr>
        <w:t>3</w:t>
      </w:r>
      <w:r w:rsidRPr="001F0E80">
        <w:rPr>
          <w:rFonts w:ascii="Arial" w:hAnsi="Arial"/>
          <w:lang w:val="en-US"/>
        </w:rPr>
        <w:tab/>
      </w:r>
      <w:r w:rsidR="006029CA">
        <w:rPr>
          <w:rFonts w:ascii="Arial" w:hAnsi="Arial"/>
          <w:lang w:val="en-US"/>
        </w:rPr>
        <w:t>24</w:t>
      </w:r>
      <w:r w:rsidRPr="001F0E80">
        <w:rPr>
          <w:rFonts w:ascii="Arial" w:hAnsi="Arial"/>
          <w:lang w:val="en-US"/>
        </w:rPr>
        <w:t xml:space="preserve"> - </w:t>
      </w:r>
      <w:r w:rsidR="001F0E80" w:rsidRPr="001F0E80">
        <w:rPr>
          <w:rFonts w:ascii="Arial" w:hAnsi="Arial"/>
          <w:lang w:val="en-US"/>
        </w:rPr>
        <w:t>2</w:t>
      </w:r>
      <w:r w:rsidR="006029CA">
        <w:rPr>
          <w:rFonts w:ascii="Arial" w:hAnsi="Arial"/>
          <w:lang w:val="en-US"/>
        </w:rPr>
        <w:t>8</w:t>
      </w:r>
      <w:r w:rsidRPr="001F0E80">
        <w:rPr>
          <w:rFonts w:ascii="Arial" w:hAnsi="Arial"/>
          <w:lang w:val="en-US"/>
        </w:rPr>
        <w:t xml:space="preserve"> </w:t>
      </w:r>
      <w:r w:rsidR="006029CA">
        <w:rPr>
          <w:rFonts w:ascii="Arial" w:hAnsi="Arial"/>
          <w:lang w:val="en-US"/>
        </w:rPr>
        <w:t>April</w:t>
      </w:r>
      <w:r w:rsidRPr="001F0E80">
        <w:rPr>
          <w:rFonts w:ascii="Arial" w:hAnsi="Arial"/>
          <w:lang w:val="en-US"/>
        </w:rPr>
        <w:t xml:space="preserve"> 201</w:t>
      </w:r>
      <w:r w:rsidR="001F0E80" w:rsidRPr="001F0E80">
        <w:rPr>
          <w:rFonts w:ascii="Arial" w:hAnsi="Arial"/>
          <w:lang w:val="en-US"/>
        </w:rPr>
        <w:t>7</w:t>
      </w:r>
      <w:r w:rsidRPr="001F0E80">
        <w:rPr>
          <w:rFonts w:ascii="Arial" w:hAnsi="Arial"/>
          <w:lang w:val="en-US"/>
        </w:rPr>
        <w:t xml:space="preserve">   </w:t>
      </w:r>
      <w:r w:rsidRPr="001F0E80">
        <w:rPr>
          <w:rFonts w:ascii="Arial" w:hAnsi="Arial"/>
          <w:lang w:val="en-US"/>
        </w:rPr>
        <w:tab/>
      </w:r>
      <w:r w:rsidR="006029CA" w:rsidRPr="006029CA">
        <w:rPr>
          <w:rFonts w:ascii="Arial" w:hAnsi="Arial"/>
          <w:lang w:val="fr-FR"/>
        </w:rPr>
        <w:t>Busan (KR)</w:t>
      </w:r>
    </w:p>
    <w:p w14:paraId="057CB369" w14:textId="77777777" w:rsidR="006029CA" w:rsidRPr="001F0E80" w:rsidRDefault="006029CA" w:rsidP="006029CA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  <w:lang w:val="fr-FR"/>
        </w:rPr>
      </w:pPr>
      <w:r w:rsidRPr="001F0E80">
        <w:rPr>
          <w:rFonts w:ascii="Arial" w:hAnsi="Arial"/>
          <w:lang w:val="en-US"/>
        </w:rPr>
        <w:t>SA</w:t>
      </w:r>
      <w:r>
        <w:rPr>
          <w:rFonts w:ascii="Arial" w:hAnsi="Arial"/>
          <w:lang w:val="en-US"/>
        </w:rPr>
        <w:t>4</w:t>
      </w:r>
      <w:r w:rsidRPr="001F0E80">
        <w:rPr>
          <w:rFonts w:ascii="Arial" w:hAnsi="Arial"/>
          <w:lang w:val="en-US"/>
        </w:rPr>
        <w:t>#</w:t>
      </w:r>
      <w:r>
        <w:rPr>
          <w:rFonts w:ascii="Arial" w:hAnsi="Arial"/>
          <w:lang w:val="en-US"/>
        </w:rPr>
        <w:t>94</w:t>
      </w:r>
      <w:r w:rsidRPr="001F0E80">
        <w:rPr>
          <w:rFonts w:ascii="Arial" w:hAnsi="Arial"/>
          <w:lang w:val="en-US"/>
        </w:rPr>
        <w:tab/>
      </w:r>
      <w:r>
        <w:rPr>
          <w:rFonts w:ascii="Arial" w:hAnsi="Arial"/>
          <w:lang w:val="en-US"/>
        </w:rPr>
        <w:t>26</w:t>
      </w:r>
      <w:r w:rsidRPr="001F0E80">
        <w:rPr>
          <w:rFonts w:ascii="Arial" w:hAnsi="Arial"/>
          <w:lang w:val="en-US"/>
        </w:rPr>
        <w:t xml:space="preserve"> - </w:t>
      </w:r>
      <w:r>
        <w:rPr>
          <w:rFonts w:ascii="Arial" w:hAnsi="Arial"/>
          <w:lang w:val="en-US"/>
        </w:rPr>
        <w:t>30</w:t>
      </w:r>
      <w:r w:rsidRPr="001F0E80">
        <w:rPr>
          <w:rFonts w:ascii="Arial" w:hAnsi="Arial"/>
          <w:lang w:val="en-US"/>
        </w:rPr>
        <w:t xml:space="preserve"> </w:t>
      </w:r>
      <w:r>
        <w:rPr>
          <w:rFonts w:ascii="Arial" w:hAnsi="Arial"/>
          <w:lang w:val="en-US"/>
        </w:rPr>
        <w:t>June</w:t>
      </w:r>
      <w:r w:rsidRPr="001F0E80">
        <w:rPr>
          <w:rFonts w:ascii="Arial" w:hAnsi="Arial"/>
          <w:lang w:val="en-US"/>
        </w:rPr>
        <w:t xml:space="preserve"> 2017   </w:t>
      </w:r>
      <w:r w:rsidRPr="001F0E80">
        <w:rPr>
          <w:rFonts w:ascii="Arial" w:hAnsi="Arial"/>
          <w:lang w:val="en-US"/>
        </w:rPr>
        <w:tab/>
      </w:r>
      <w:r w:rsidRPr="006029CA">
        <w:rPr>
          <w:rFonts w:ascii="Arial" w:hAnsi="Arial"/>
          <w:lang w:val="fr-FR"/>
        </w:rPr>
        <w:t>Sophia-Antipolis (FR)</w:t>
      </w:r>
    </w:p>
    <w:p w14:paraId="1BFB7400" w14:textId="77777777" w:rsidR="006029CA" w:rsidRPr="001F0E80" w:rsidRDefault="006029CA" w:rsidP="006029CA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  <w:lang w:val="en-US"/>
        </w:rPr>
      </w:pPr>
    </w:p>
    <w:p w14:paraId="189DE7F6" w14:textId="77777777" w:rsidR="001B691D" w:rsidRDefault="001B691D" w:rsidP="0025153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  <w:lang w:val="fr-FR"/>
        </w:rPr>
      </w:pPr>
    </w:p>
    <w:sectPr w:rsidR="001B691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BA4E91" w14:textId="77777777" w:rsidR="00B25462" w:rsidRDefault="00B25462">
      <w:r>
        <w:separator/>
      </w:r>
    </w:p>
  </w:endnote>
  <w:endnote w:type="continuationSeparator" w:id="0">
    <w:p w14:paraId="4DD49436" w14:textId="77777777" w:rsidR="00B25462" w:rsidRDefault="00B25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E0944" w14:textId="77777777" w:rsidR="00B25462" w:rsidRDefault="00B25462">
      <w:r>
        <w:separator/>
      </w:r>
    </w:p>
  </w:footnote>
  <w:footnote w:type="continuationSeparator" w:id="0">
    <w:p w14:paraId="3706D9E0" w14:textId="77777777" w:rsidR="00B25462" w:rsidRDefault="00B254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2862"/>
    <w:rsid w:val="00032239"/>
    <w:rsid w:val="00040D1A"/>
    <w:rsid w:val="00040D5F"/>
    <w:rsid w:val="00057FAA"/>
    <w:rsid w:val="000637DF"/>
    <w:rsid w:val="00086E96"/>
    <w:rsid w:val="000E1D36"/>
    <w:rsid w:val="000E3A55"/>
    <w:rsid w:val="000F4ED2"/>
    <w:rsid w:val="000F5B79"/>
    <w:rsid w:val="00110EAF"/>
    <w:rsid w:val="0012382E"/>
    <w:rsid w:val="00175B3D"/>
    <w:rsid w:val="001B0D0A"/>
    <w:rsid w:val="001B691D"/>
    <w:rsid w:val="001C17BC"/>
    <w:rsid w:val="001F0E80"/>
    <w:rsid w:val="002007AA"/>
    <w:rsid w:val="00211A7D"/>
    <w:rsid w:val="00245567"/>
    <w:rsid w:val="00251532"/>
    <w:rsid w:val="00270EA3"/>
    <w:rsid w:val="00284CE0"/>
    <w:rsid w:val="00290627"/>
    <w:rsid w:val="00297912"/>
    <w:rsid w:val="002B75FE"/>
    <w:rsid w:val="002C07EF"/>
    <w:rsid w:val="00320E90"/>
    <w:rsid w:val="00341FD8"/>
    <w:rsid w:val="003810A9"/>
    <w:rsid w:val="0038341B"/>
    <w:rsid w:val="00392B4F"/>
    <w:rsid w:val="00397EA2"/>
    <w:rsid w:val="003B0CB0"/>
    <w:rsid w:val="003F5F4D"/>
    <w:rsid w:val="00463675"/>
    <w:rsid w:val="004C70CC"/>
    <w:rsid w:val="004F0B92"/>
    <w:rsid w:val="005310ED"/>
    <w:rsid w:val="005B4D23"/>
    <w:rsid w:val="006029CA"/>
    <w:rsid w:val="00621ACB"/>
    <w:rsid w:val="006309B4"/>
    <w:rsid w:val="0064276C"/>
    <w:rsid w:val="00676E2F"/>
    <w:rsid w:val="006B0F6D"/>
    <w:rsid w:val="006C0221"/>
    <w:rsid w:val="006D4638"/>
    <w:rsid w:val="0072267D"/>
    <w:rsid w:val="00775617"/>
    <w:rsid w:val="007A73FB"/>
    <w:rsid w:val="007D5FA6"/>
    <w:rsid w:val="008740A0"/>
    <w:rsid w:val="008B053C"/>
    <w:rsid w:val="0090433B"/>
    <w:rsid w:val="00923E7C"/>
    <w:rsid w:val="00943FB7"/>
    <w:rsid w:val="00964ECC"/>
    <w:rsid w:val="009F57F3"/>
    <w:rsid w:val="00A57915"/>
    <w:rsid w:val="00A67644"/>
    <w:rsid w:val="00A77E1F"/>
    <w:rsid w:val="00A80D3D"/>
    <w:rsid w:val="00A84CB2"/>
    <w:rsid w:val="00AC0E7A"/>
    <w:rsid w:val="00B07427"/>
    <w:rsid w:val="00B1620F"/>
    <w:rsid w:val="00B25462"/>
    <w:rsid w:val="00B82BCF"/>
    <w:rsid w:val="00BC3682"/>
    <w:rsid w:val="00C042C0"/>
    <w:rsid w:val="00C27952"/>
    <w:rsid w:val="00CC74A7"/>
    <w:rsid w:val="00CD12A6"/>
    <w:rsid w:val="00D400D2"/>
    <w:rsid w:val="00D61C52"/>
    <w:rsid w:val="00D82177"/>
    <w:rsid w:val="00DA743C"/>
    <w:rsid w:val="00DE1647"/>
    <w:rsid w:val="00DF24DC"/>
    <w:rsid w:val="00E20167"/>
    <w:rsid w:val="00E22937"/>
    <w:rsid w:val="00E70743"/>
    <w:rsid w:val="00E90916"/>
    <w:rsid w:val="00E9195A"/>
    <w:rsid w:val="00E96199"/>
    <w:rsid w:val="00EA4B5D"/>
    <w:rsid w:val="00EE0F7B"/>
    <w:rsid w:val="00F139F7"/>
    <w:rsid w:val="00F26E83"/>
    <w:rsid w:val="00F8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4B0E38"/>
  <w15:docId w15:val="{973E38BC-76C5-41FE-9E1A-94595B368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semiHidden/>
    <w:rsid w:val="00676E2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4E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64EC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4ECC"/>
    <w:rPr>
      <w:rFonts w:ascii="Arial" w:hAnsi="Arial"/>
      <w:b/>
      <w:bCs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964EC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8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jon.gibbs@obliso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medicine.medscape.com/article/1836134-overview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ncbi.nlm.nih.gov/pmc/articles/PMC1739361/pdf/v076p01398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ev.icad.org/Proceedings/2005/BrungartSimpson200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5264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786532</vt:i4>
      </vt:variant>
      <vt:variant>
        <vt:i4>0</vt:i4>
      </vt:variant>
      <vt:variant>
        <vt:i4>0</vt:i4>
      </vt:variant>
      <vt:variant>
        <vt:i4>5</vt:i4>
      </vt:variant>
      <vt:variant>
        <vt:lpwstr>mailto:edhall@qti.qualcomm.com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Jon</cp:lastModifiedBy>
  <cp:revision>2</cp:revision>
  <cp:lastPrinted>2002-04-23T08:10:00Z</cp:lastPrinted>
  <dcterms:created xsi:type="dcterms:W3CDTF">2017-01-25T10:48:00Z</dcterms:created>
  <dcterms:modified xsi:type="dcterms:W3CDTF">2017-01-25T10:48:00Z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-574425479</vt:i4>
  </property>
  <property fmtid="{D5CDD505-2E9C-101B-9397-08002B2CF9AE}" pid="3" name="_NewReviewCycle">
    <vt:lpwstr/>
  </property>
  <property fmtid="{D5CDD505-2E9C-101B-9397-08002B2CF9AE}" pid="4" name="_EmailSubject">
    <vt:lpwstr>Draft Text on the Reply LS to SA1 on Motion-to-Sound Latency</vt:lpwstr>
  </property>
  <property fmtid="{D5CDD505-2E9C-101B-9397-08002B2CF9AE}" pid="5" name="_AuthorEmail">
    <vt:lpwstr>aschevci@qti.qualcomm.com</vt:lpwstr>
  </property>
  <property fmtid="{D5CDD505-2E9C-101B-9397-08002B2CF9AE}" pid="6" name="_AuthorEmailDisplayName">
    <vt:lpwstr>Schevciw, Andre</vt:lpwstr>
  </property>
  <property fmtid="{D5CDD505-2E9C-101B-9397-08002B2CF9AE}" pid="7" name="_PreviousAdHocReviewCycleID">
    <vt:i4>-742547635</vt:i4>
  </property>
  <property fmtid="{D5CDD505-2E9C-101B-9397-08002B2CF9AE}" pid="8" name="_ReviewingToolsShownOnce">
    <vt:lpwstr/>
  </property>
</Properties>
</file>